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jc w:val="center"/>
      </w:pPr>
      <w:r>
        <w:rPr>
          <w:rtl w:val="0"/>
          <w:lang w:val="nl-NL"/>
        </w:rPr>
        <w:t xml:space="preserve">MedBillDozer </w:t>
      </w:r>
      <w:r>
        <w:rPr>
          <w:rtl w:val="0"/>
        </w:rPr>
        <w:t xml:space="preserve">– </w:t>
      </w:r>
      <w:r>
        <w:rPr>
          <w:rtl w:val="0"/>
          <w:lang w:val="en-US"/>
        </w:rPr>
        <w:t>Problem Framing Script</w:t>
      </w:r>
    </w:p>
    <w:p>
      <w:pPr>
        <w:pStyle w:val="Body"/>
      </w:pPr>
      <w:r>
        <w:br w:type="textWrapping"/>
      </w:r>
    </w:p>
    <w:p>
      <w:pPr>
        <w:pStyle w:val="Heading 2"/>
      </w:pPr>
      <w:r>
        <w:rPr>
          <w:rtl w:val="0"/>
          <w:lang w:val="da-DK"/>
        </w:rPr>
        <w:t xml:space="preserve">Scene 1 </w:t>
      </w:r>
      <w:r>
        <w:rPr>
          <w:rtl w:val="0"/>
        </w:rPr>
        <w:t xml:space="preserve">– </w:t>
      </w:r>
      <w:r>
        <w:rPr>
          <w:rtl w:val="0"/>
          <w:lang w:val="en-US"/>
        </w:rPr>
        <w:t>On Camera (Opening)</w:t>
      </w:r>
    </w:p>
    <w:p>
      <w:pPr>
        <w:pStyle w:val="Body"/>
      </w:pPr>
      <w:r>
        <w:rPr>
          <w:rtl w:val="0"/>
          <w:lang w:val="en-US"/>
        </w:rPr>
        <w:t>Hi, I</w:t>
      </w:r>
      <w:r>
        <w:rPr>
          <w:rtl w:val="1"/>
        </w:rPr>
        <w:t>’</w:t>
      </w:r>
      <w:r>
        <w:rPr>
          <w:rtl w:val="0"/>
          <w:lang w:val="en-US"/>
        </w:rPr>
        <w:t xml:space="preserve">m John. I built MedBillDozer to address a systemic weakness in healthcare </w:t>
      </w:r>
      <w:r>
        <w:rPr>
          <w:rtl w:val="0"/>
          <w:lang w:val="en-US"/>
        </w:rPr>
        <w:t xml:space="preserve">— </w:t>
      </w:r>
      <w:r>
        <w:rPr>
          <w:rtl w:val="0"/>
          <w:lang w:val="en-US"/>
        </w:rPr>
        <w:t>medical billing accuracy.</w:t>
      </w:r>
      <w:r>
        <w:br w:type="textWrapping"/>
        <w:br w:type="textWrapping"/>
      </w:r>
      <w:r>
        <w:rPr>
          <w:rtl w:val="0"/>
          <w:lang w:val="en-US"/>
        </w:rPr>
        <w:t>And the data shows this isn</w:t>
      </w:r>
      <w:r>
        <w:rPr>
          <w:rtl w:val="1"/>
        </w:rPr>
        <w:t>’</w:t>
      </w:r>
      <w:r>
        <w:rPr>
          <w:rtl w:val="0"/>
          <w:lang w:val="en-US"/>
        </w:rPr>
        <w:t>t a marginal issue.</w:t>
      </w:r>
    </w:p>
    <w:p>
      <w:pPr>
        <w:pStyle w:val="Heading 2"/>
      </w:pPr>
      <w:r>
        <w:rPr>
          <w:rtl w:val="0"/>
          <w:lang w:val="da-DK"/>
        </w:rPr>
        <w:t xml:space="preserve">Scene 2 </w:t>
      </w:r>
      <w:r>
        <w:rPr>
          <w:rtl w:val="0"/>
        </w:rPr>
        <w:t xml:space="preserve">– </w:t>
      </w:r>
      <w:r>
        <w:rPr>
          <w:rtl w:val="0"/>
        </w:rPr>
        <w:t>49</w:t>
      </w:r>
      <w:r>
        <w:rPr>
          <w:rtl w:val="0"/>
        </w:rPr>
        <w:t>–</w:t>
      </w:r>
      <w:r>
        <w:rPr>
          <w:rtl w:val="0"/>
          <w:lang w:val="de-DE"/>
        </w:rPr>
        <w:t>80% Error Rate</w:t>
      </w:r>
    </w:p>
    <w:p>
      <w:pPr>
        <w:pStyle w:val="Body"/>
      </w:pPr>
      <w:r>
        <w:drawing xmlns:a="http://schemas.openxmlformats.org/drawingml/2006/main">
          <wp:inline distT="0" distB="0" distL="0" distR="0">
            <wp:extent cx="5486400" cy="2511932"/>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5486400" cy="2511932"/>
                    </a:xfrm>
                    <a:prstGeom prst="rect">
                      <a:avLst/>
                    </a:prstGeom>
                    <a:ln w="12700" cap="flat">
                      <a:noFill/>
                      <a:miter lim="400000"/>
                    </a:ln>
                    <a:effectLst/>
                  </pic:spPr>
                </pic:pic>
              </a:graphicData>
            </a:graphic>
          </wp:inline>
        </w:drawing>
      </w:r>
    </w:p>
    <w:p>
      <w:pPr>
        <w:pStyle w:val="Body"/>
      </w:pPr>
      <w:r>
        <w:rPr>
          <w:rtl w:val="0"/>
          <w:lang w:val="en-US"/>
        </w:rPr>
        <w:t>Industry analyses report that between forty-nine and eighty percent of medical bills contain at least one error.</w:t>
      </w:r>
      <w:r>
        <w:br w:type="textWrapping"/>
        <w:br w:type="textWrapping"/>
      </w:r>
      <w:r>
        <w:rPr>
          <w:rtl w:val="0"/>
          <w:lang w:val="en-US"/>
        </w:rPr>
        <w:t>That</w:t>
      </w:r>
      <w:r>
        <w:rPr>
          <w:rtl w:val="1"/>
        </w:rPr>
        <w:t>’</w:t>
      </w:r>
      <w:r>
        <w:rPr>
          <w:rtl w:val="0"/>
          <w:lang w:val="en-US"/>
        </w:rPr>
        <w:t>s not a rounding discrepancy. That</w:t>
      </w:r>
      <w:r>
        <w:rPr>
          <w:rtl w:val="1"/>
        </w:rPr>
        <w:t>’</w:t>
      </w:r>
      <w:r>
        <w:rPr>
          <w:rtl w:val="0"/>
        </w:rPr>
        <w:t>s structural.</w:t>
      </w:r>
    </w:p>
    <w:p>
      <w:pPr>
        <w:pStyle w:val="Heading 2"/>
      </w:pPr>
      <w:r>
        <w:rPr>
          <w:rtl w:val="0"/>
          <w:lang w:val="da-DK"/>
        </w:rPr>
        <w:t xml:space="preserve">Scene 3 </w:t>
      </w:r>
      <w:r>
        <w:rPr>
          <w:rtl w:val="0"/>
        </w:rPr>
        <w:t xml:space="preserve">– </w:t>
      </w:r>
      <w:r>
        <w:rPr>
          <w:rtl w:val="0"/>
          <w:lang w:val="en-US"/>
        </w:rPr>
        <w:t>$1,300 Average Error (ABC / Equifax)</w:t>
      </w:r>
    </w:p>
    <w:p>
      <w:pPr>
        <w:pStyle w:val="Body"/>
      </w:pPr>
      <w:r>
        <w:drawing xmlns:a="http://schemas.openxmlformats.org/drawingml/2006/main">
          <wp:inline distT="0" distB="0" distL="0" distR="0">
            <wp:extent cx="5486400" cy="3327009"/>
            <wp:effectExtent l="0" t="0" r="0" b="0"/>
            <wp:docPr id="1073741826" name="officeArt object" descr="Picture 2"/>
            <wp:cNvGraphicFramePr/>
            <a:graphic xmlns:a="http://schemas.openxmlformats.org/drawingml/2006/main">
              <a:graphicData uri="http://schemas.openxmlformats.org/drawingml/2006/picture">
                <pic:pic xmlns:pic="http://schemas.openxmlformats.org/drawingml/2006/picture">
                  <pic:nvPicPr>
                    <pic:cNvPr id="1073741826" name="Picture 2" descr="Picture 2"/>
                    <pic:cNvPicPr>
                      <a:picLocks noChangeAspect="1"/>
                    </pic:cNvPicPr>
                  </pic:nvPicPr>
                  <pic:blipFill>
                    <a:blip r:embed="rId5">
                      <a:extLst/>
                    </a:blip>
                    <a:stretch>
                      <a:fillRect/>
                    </a:stretch>
                  </pic:blipFill>
                  <pic:spPr>
                    <a:xfrm>
                      <a:off x="0" y="0"/>
                      <a:ext cx="5486400" cy="3327009"/>
                    </a:xfrm>
                    <a:prstGeom prst="rect">
                      <a:avLst/>
                    </a:prstGeom>
                    <a:ln w="12700" cap="flat">
                      <a:noFill/>
                      <a:miter lim="400000"/>
                    </a:ln>
                    <a:effectLst/>
                  </pic:spPr>
                </pic:pic>
              </a:graphicData>
            </a:graphic>
          </wp:inline>
        </w:drawing>
      </w:r>
    </w:p>
    <w:p>
      <w:pPr>
        <w:pStyle w:val="Body"/>
      </w:pPr>
      <w:r>
        <w:rPr>
          <w:rtl w:val="0"/>
          <w:lang w:val="en-US"/>
        </w:rPr>
        <w:t>ABC News, citing Equifax data, found that hospital bills over ten thousand dollars contained an average error of about thirteen hundred dollars.</w:t>
      </w:r>
      <w:r>
        <w:br w:type="textWrapping"/>
        <w:br w:type="textWrapping"/>
      </w:r>
      <w:r>
        <w:rPr>
          <w:rtl w:val="0"/>
          <w:lang w:val="en-US"/>
        </w:rPr>
        <w:t>For patients, that</w:t>
      </w:r>
      <w:r>
        <w:rPr>
          <w:rtl w:val="1"/>
        </w:rPr>
        <w:t>’</w:t>
      </w:r>
      <w:r>
        <w:rPr>
          <w:rtl w:val="0"/>
          <w:lang w:val="en-US"/>
        </w:rPr>
        <w:t>s money lost to coding mistakes, duplicate charges, or improper bundling.</w:t>
      </w:r>
    </w:p>
    <w:p>
      <w:pPr>
        <w:pStyle w:val="Heading 2"/>
      </w:pPr>
      <w:r>
        <w:rPr>
          <w:rtl w:val="0"/>
          <w:lang w:val="da-DK"/>
        </w:rPr>
        <w:t xml:space="preserve">Scene 4 </w:t>
      </w:r>
      <w:r>
        <w:rPr>
          <w:rtl w:val="0"/>
        </w:rPr>
        <w:t xml:space="preserve">– </w:t>
      </w:r>
      <w:r>
        <w:rPr>
          <w:rtl w:val="0"/>
          <w:lang w:val="en-US"/>
        </w:rPr>
        <w:t>$68 Billion System Cost</w:t>
      </w:r>
    </w:p>
    <w:p>
      <w:pPr>
        <w:pStyle w:val="Body"/>
      </w:pPr>
      <w:r>
        <w:drawing xmlns:a="http://schemas.openxmlformats.org/drawingml/2006/main">
          <wp:inline distT="0" distB="0" distL="0" distR="0">
            <wp:extent cx="5486400" cy="2236373"/>
            <wp:effectExtent l="0" t="0" r="0" b="0"/>
            <wp:docPr id="1073741827" name="officeArt object" descr="Picture 3"/>
            <wp:cNvGraphicFramePr/>
            <a:graphic xmlns:a="http://schemas.openxmlformats.org/drawingml/2006/main">
              <a:graphicData uri="http://schemas.openxmlformats.org/drawingml/2006/picture">
                <pic:pic xmlns:pic="http://schemas.openxmlformats.org/drawingml/2006/picture">
                  <pic:nvPicPr>
                    <pic:cNvPr id="1073741827" name="Picture 3" descr="Picture 3"/>
                    <pic:cNvPicPr>
                      <a:picLocks noChangeAspect="1"/>
                    </pic:cNvPicPr>
                  </pic:nvPicPr>
                  <pic:blipFill>
                    <a:blip r:embed="rId6">
                      <a:extLst/>
                    </a:blip>
                    <a:stretch>
                      <a:fillRect/>
                    </a:stretch>
                  </pic:blipFill>
                  <pic:spPr>
                    <a:xfrm>
                      <a:off x="0" y="0"/>
                      <a:ext cx="5486400" cy="2236373"/>
                    </a:xfrm>
                    <a:prstGeom prst="rect">
                      <a:avLst/>
                    </a:prstGeom>
                    <a:ln w="12700" cap="flat">
                      <a:noFill/>
                      <a:miter lim="400000"/>
                    </a:ln>
                    <a:effectLst/>
                  </pic:spPr>
                </pic:pic>
              </a:graphicData>
            </a:graphic>
          </wp:inline>
        </w:drawing>
      </w:r>
    </w:p>
    <w:p>
      <w:pPr>
        <w:pStyle w:val="Body"/>
      </w:pPr>
      <w:r>
        <w:rPr>
          <w:rtl w:val="0"/>
          <w:lang w:val="en-US"/>
        </w:rPr>
        <w:t>In 2022, American hospitals lost a projected sixty-eight billion dollars due to billing mistakes, rejected claims, and payment errors.</w:t>
      </w:r>
      <w:r>
        <w:br w:type="textWrapping"/>
        <w:br w:type="textWrapping"/>
      </w:r>
      <w:r>
        <w:rPr>
          <w:rtl w:val="0"/>
          <w:lang w:val="en-US"/>
        </w:rPr>
        <w:t>This isn</w:t>
      </w:r>
      <w:r>
        <w:rPr>
          <w:rtl w:val="1"/>
        </w:rPr>
        <w:t>’</w:t>
      </w:r>
      <w:r>
        <w:rPr>
          <w:rtl w:val="0"/>
          <w:lang w:val="en-US"/>
        </w:rPr>
        <w:t>t just a patient issue. It</w:t>
      </w:r>
      <w:r>
        <w:rPr>
          <w:rtl w:val="1"/>
        </w:rPr>
        <w:t>’</w:t>
      </w:r>
      <w:r>
        <w:rPr>
          <w:rtl w:val="0"/>
          <w:lang w:val="en-US"/>
        </w:rPr>
        <w:t>s a system-level inefficiency problem.</w:t>
      </w:r>
    </w:p>
    <w:p>
      <w:pPr>
        <w:pStyle w:val="Heading 2"/>
      </w:pPr>
      <w:r>
        <w:rPr>
          <w:rtl w:val="0"/>
          <w:lang w:val="da-DK"/>
        </w:rPr>
        <w:t xml:space="preserve">Scene 5 </w:t>
      </w:r>
      <w:r>
        <w:rPr>
          <w:rtl w:val="0"/>
        </w:rPr>
        <w:t xml:space="preserve">– </w:t>
      </w:r>
      <w:r>
        <w:rPr>
          <w:rtl w:val="0"/>
          <w:lang w:val="en-US"/>
        </w:rPr>
        <w:t>$78,000 Human Impact (KFF Health News)</w:t>
      </w:r>
    </w:p>
    <w:p>
      <w:pPr>
        <w:pStyle w:val="Body"/>
      </w:pPr>
      <w:r>
        <w:drawing xmlns:a="http://schemas.openxmlformats.org/drawingml/2006/main">
          <wp:inline distT="0" distB="0" distL="0" distR="0">
            <wp:extent cx="5486400" cy="3704927"/>
            <wp:effectExtent l="0" t="0" r="0" b="0"/>
            <wp:docPr id="1073741828" name="officeArt object" descr="Picture 4"/>
            <wp:cNvGraphicFramePr/>
            <a:graphic xmlns:a="http://schemas.openxmlformats.org/drawingml/2006/main">
              <a:graphicData uri="http://schemas.openxmlformats.org/drawingml/2006/picture">
                <pic:pic xmlns:pic="http://schemas.openxmlformats.org/drawingml/2006/picture">
                  <pic:nvPicPr>
                    <pic:cNvPr id="1073741828" name="Picture 4" descr="Picture 4"/>
                    <pic:cNvPicPr>
                      <a:picLocks noChangeAspect="1"/>
                    </pic:cNvPicPr>
                  </pic:nvPicPr>
                  <pic:blipFill>
                    <a:blip r:embed="rId7">
                      <a:extLst/>
                    </a:blip>
                    <a:stretch>
                      <a:fillRect/>
                    </a:stretch>
                  </pic:blipFill>
                  <pic:spPr>
                    <a:xfrm>
                      <a:off x="0" y="0"/>
                      <a:ext cx="5486400" cy="3704927"/>
                    </a:xfrm>
                    <a:prstGeom prst="rect">
                      <a:avLst/>
                    </a:prstGeom>
                    <a:ln w="12700" cap="flat">
                      <a:noFill/>
                      <a:miter lim="400000"/>
                    </a:ln>
                    <a:effectLst/>
                  </pic:spPr>
                </pic:pic>
              </a:graphicData>
            </a:graphic>
          </wp:inline>
        </w:drawing>
      </w:r>
    </w:p>
    <w:p>
      <w:pPr>
        <w:pStyle w:val="Body"/>
      </w:pPr>
      <w:r>
        <w:rPr>
          <w:rtl w:val="0"/>
          <w:lang w:val="en-US"/>
        </w:rPr>
        <w:t>A KFF Health News investigation documented a Medicaid patient who suffered a heart attack while traveling and was left owing nearly seventy-eight thousand dollars.</w:t>
      </w:r>
      <w:r>
        <w:br w:type="textWrapping"/>
        <w:br w:type="textWrapping"/>
      </w:r>
      <w:r>
        <w:rPr>
          <w:rtl w:val="0"/>
          <w:lang w:val="en-US"/>
        </w:rPr>
        <w:t xml:space="preserve">Errors propagate </w:t>
      </w:r>
      <w:r>
        <w:rPr>
          <w:rtl w:val="0"/>
          <w:lang w:val="en-US"/>
        </w:rPr>
        <w:t xml:space="preserve">— </w:t>
      </w:r>
      <w:r>
        <w:rPr>
          <w:rtl w:val="0"/>
          <w:lang w:val="en-US"/>
        </w:rPr>
        <w:t xml:space="preserve">across providers, insurers, and patients </w:t>
      </w:r>
      <w:r>
        <w:rPr>
          <w:rtl w:val="0"/>
          <w:lang w:val="en-US"/>
        </w:rPr>
        <w:t xml:space="preserve">— </w:t>
      </w:r>
      <w:r>
        <w:rPr>
          <w:rtl w:val="0"/>
          <w:lang w:val="en-US"/>
        </w:rPr>
        <w:t>and they</w:t>
      </w:r>
      <w:r>
        <w:rPr>
          <w:rtl w:val="1"/>
        </w:rPr>
        <w:t>’</w:t>
      </w:r>
      <w:r>
        <w:rPr>
          <w:rtl w:val="0"/>
          <w:lang w:val="en-US"/>
        </w:rPr>
        <w:t>re difficult to untangle once embedded in the billing chain.</w:t>
      </w:r>
    </w:p>
    <w:p>
      <w:pPr>
        <w:pStyle w:val="Heading 2"/>
      </w:pPr>
      <w:r>
        <w:rPr>
          <w:rtl w:val="0"/>
          <w:lang w:val="it-IT"/>
        </w:rPr>
        <w:t xml:space="preserve">Scene 6 </w:t>
      </w:r>
      <w:r>
        <w:rPr>
          <w:rtl w:val="0"/>
        </w:rPr>
        <w:t xml:space="preserve">– </w:t>
      </w:r>
      <w:r>
        <w:rPr>
          <w:rtl w:val="0"/>
          <w:lang w:val="fr-FR"/>
        </w:rPr>
        <w:t>Solution Transition</w:t>
      </w:r>
    </w:p>
    <w:p>
      <w:pPr>
        <w:pStyle w:val="Body"/>
      </w:pPr>
      <w:r>
        <w:rPr>
          <w:rtl w:val="0"/>
          <w:lang w:val="en-US"/>
        </w:rPr>
        <w:t>Despite this prevalence, patients are expected to interpret itemized charges, insurance adjustments, and compliance codes on their own.</w:t>
      </w:r>
      <w:r>
        <w:br w:type="textWrapping"/>
        <w:br w:type="textWrapping"/>
      </w:r>
      <w:r>
        <w:rPr>
          <w:rtl w:val="0"/>
          <w:lang w:val="en-US"/>
        </w:rPr>
        <w:t xml:space="preserve">I built MedBillDozer to automate that review process </w:t>
      </w:r>
      <w:r>
        <w:rPr>
          <w:rtl w:val="0"/>
          <w:lang w:val="en-US"/>
        </w:rPr>
        <w:t xml:space="preserve">— </w:t>
      </w:r>
      <w:r>
        <w:rPr>
          <w:rtl w:val="0"/>
          <w:lang w:val="en-US"/>
        </w:rPr>
        <w:t>to make billing analysis systematic, repeatable, and accessible.</w:t>
      </w:r>
    </w:p>
    <w:p>
      <w:pPr>
        <w:pStyle w:val="Body"/>
      </w:pPr>
      <w:r>
        <w:rPr>
          <w:rFonts w:ascii="Arial Unicode MS" w:cs="Arial Unicode MS" w:hAnsi="Arial Unicode MS" w:eastAsia="Arial Unicode MS"/>
          <w:b w:val="0"/>
          <w:bCs w:val="0"/>
          <w:i w:val="0"/>
          <w:iCs w:val="0"/>
        </w:rPr>
        <w:br w:type="page"/>
      </w:r>
    </w:p>
    <w:p>
      <w:pPr>
        <w:pStyle w:val="Heading"/>
        <w:jc w:val="center"/>
      </w:pPr>
      <w:r>
        <w:rPr>
          <w:rtl w:val="0"/>
          <w:lang w:val="en-US"/>
        </w:rPr>
        <w:t>Splash Screen Introduction</w:t>
      </w:r>
    </w:p>
    <w:p>
      <w:pPr>
        <w:pStyle w:val="Body"/>
      </w:pPr>
    </w:p>
    <w:p>
      <w:pPr>
        <w:pStyle w:val="Body"/>
      </w:pPr>
      <w:r>
        <w:rPr>
          <w:rtl w:val="0"/>
          <w:lang w:val="en-US"/>
        </w:rPr>
        <w:t>Billie: Ready to see how easy it is to double-check your bills?</w:t>
      </w:r>
    </w:p>
    <w:p>
      <w:pPr>
        <w:pStyle w:val="Body"/>
      </w:pPr>
      <w:r>
        <w:rPr>
          <w:rtl w:val="0"/>
          <w:lang w:val="en-US"/>
        </w:rPr>
        <w:t>Billy: We scan medical bills, pharmacy receipts, dental claims, and insurance statements to uncover overcharges, duplicates, and missed reimbursements.</w:t>
      </w:r>
    </w:p>
    <w:p>
      <w:pPr>
        <w:pStyle w:val="Body"/>
      </w:pPr>
      <w:r>
        <w:rPr>
          <w:rtl w:val="0"/>
          <w:lang w:val="de-DE"/>
        </w:rPr>
        <w:t>Billie: Hi! We</w:t>
      </w:r>
      <w:r>
        <w:rPr>
          <w:rtl w:val="1"/>
        </w:rPr>
        <w:t>’</w:t>
      </w:r>
      <w:r>
        <w:rPr>
          <w:rtl w:val="0"/>
          <w:lang w:val="en-US"/>
        </w:rPr>
        <w:t>re Billy and Billie</w:t>
      </w:r>
      <w:r>
        <w:rPr>
          <w:rtl w:val="0"/>
          <w:lang w:val="en-US"/>
        </w:rPr>
        <w:t>—</w:t>
      </w:r>
      <w:r>
        <w:rPr>
          <w:rtl w:val="0"/>
          <w:lang w:val="en-US"/>
        </w:rPr>
        <w:t>your guides to finding billing mistakes.</w:t>
      </w:r>
    </w:p>
    <w:p>
      <w:pPr>
        <w:pStyle w:val="Body"/>
      </w:pPr>
      <w:r>
        <w:br w:type="textWrapping"/>
      </w:r>
    </w:p>
    <w:p>
      <w:pPr>
        <w:pStyle w:val="Heading"/>
        <w:jc w:val="center"/>
      </w:pPr>
      <w:r>
        <w:rPr>
          <w:rtl w:val="0"/>
          <w:lang w:val="fr-FR"/>
        </w:rPr>
        <w:t>Application Tour</w:t>
      </w:r>
    </w:p>
    <w:p>
      <w:pPr>
        <w:pStyle w:val="Heading 2"/>
      </w:pPr>
      <w:r>
        <w:rPr>
          <w:rtl w:val="0"/>
          <w:lang w:val="en-US"/>
        </w:rPr>
        <w:t>Step 1: Welcome to MedBillDozer</w:t>
      </w:r>
    </w:p>
    <w:p>
      <w:pPr>
        <w:pStyle w:val="Body"/>
      </w:pPr>
      <w:r>
        <w:rPr>
          <w:rtl w:val="0"/>
          <w:lang w:val="en-US"/>
        </w:rPr>
        <w:t>Welcome to MedBillDozer. If you have ever tried to reconcile a medical bill, an insurance explanation, and a pharmacy receipt at the same time, you already understand the frustration this app is designed to solve. MedBillDozer turns that manual reconciliation process into a structured, transparent workflow.</w:t>
      </w:r>
    </w:p>
    <w:p>
      <w:pPr>
        <w:pStyle w:val="Heading 2"/>
      </w:pPr>
      <w:r>
        <w:rPr>
          <w:rtl w:val="0"/>
          <w:lang w:val="en-US"/>
        </w:rPr>
        <w:t xml:space="preserve">Step 2: Demo POC Workflow </w:t>
      </w:r>
      <w:r>
        <w:rPr>
          <w:rtl w:val="0"/>
        </w:rPr>
        <w:t xml:space="preserve">– </w:t>
      </w:r>
      <w:r>
        <w:rPr>
          <w:rtl w:val="0"/>
          <w:lang w:val="en-US"/>
        </w:rPr>
        <w:t>Copy &amp; Paste</w:t>
      </w:r>
    </w:p>
    <w:p>
      <w:pPr>
        <w:pStyle w:val="Body"/>
      </w:pPr>
      <w:r>
        <w:rPr>
          <w:rtl w:val="0"/>
          <w:lang w:val="en-US"/>
        </w:rPr>
        <w:t>This Demo POC workflow lets you lift the hood. Click Copy Document on any sample file and paste it into the input fields below. You can add additional documents anytime using the plus icon. This gives you a behind-the-scenes look at how documents move through the pipeline.</w:t>
      </w:r>
    </w:p>
    <w:p>
      <w:pPr>
        <w:pStyle w:val="Heading 2"/>
      </w:pPr>
      <w:r>
        <w:rPr>
          <w:rtl w:val="0"/>
          <w:lang w:val="en-US"/>
        </w:rPr>
        <w:t>Step 3: Multi-Document Observability</w:t>
      </w:r>
    </w:p>
    <w:p>
      <w:pPr>
        <w:pStyle w:val="Body"/>
      </w:pPr>
      <w:r>
        <w:rPr>
          <w:rtl w:val="0"/>
          <w:lang w:val="en-US"/>
        </w:rPr>
        <w:t>When you analyze multiple documents together, the system compares what was billed, what was covered, and what was paid across providers and dates of service. You can inspect the execution graph to see exactly how each step runs in a deterministic pipeline.</w:t>
      </w:r>
    </w:p>
    <w:p>
      <w:pPr>
        <w:pStyle w:val="Heading 2"/>
      </w:pPr>
      <w:r>
        <w:rPr>
          <w:rtl w:val="0"/>
          <w:lang w:val="en-US"/>
        </w:rPr>
        <w:t>Step 4: Demo Production Workflow</w:t>
      </w:r>
    </w:p>
    <w:p>
      <w:pPr>
        <w:pStyle w:val="Body"/>
      </w:pPr>
      <w:r>
        <w:rPr>
          <w:rtl w:val="0"/>
          <w:lang w:val="en-US"/>
        </w:rPr>
        <w:t>The Demo Production Workflow simulates how a healthcare consumer could use the system in a structured, real-world scenario. Documents are preloaded and persist state across sessions, minimizing repetitive input. Each document can carry workflow states such as ignored, resolved, or follow-up, helping consumers track which billing issues still need attention. During analysis, potential errors are flagged automatically. If a document already has a defined state, it is excluded from re-analysis to preserve deterministic processing</w:t>
      </w:r>
      <w:r>
        <w:rPr>
          <w:rtl w:val="0"/>
          <w:lang w:val="en-US"/>
        </w:rPr>
        <w:t>—</w:t>
      </w:r>
      <w:r>
        <w:rPr>
          <w:rtl w:val="0"/>
          <w:lang w:val="en-US"/>
        </w:rPr>
        <w:t>what data scientists and engineers call idempotency. After analysis, states can be updated through the action dropdown, and follow-up issues can be downloaded, making it simple for an individual to organize, document, and act on billing disputes with confidence.</w:t>
      </w:r>
    </w:p>
    <w:p>
      <w:pPr>
        <w:pStyle w:val="Heading 2"/>
      </w:pPr>
      <w:r>
        <w:rPr>
          <w:rtl w:val="0"/>
          <w:lang w:val="en-US"/>
        </w:rPr>
        <w:t>Step 5: Sidebar Navigation &amp; AI Agent</w:t>
      </w:r>
    </w:p>
    <w:p>
      <w:pPr>
        <w:pStyle w:val="Body"/>
      </w:pPr>
      <w:r>
        <w:rPr>
          <w:rtl w:val="0"/>
          <w:lang w:val="en-US"/>
        </w:rPr>
        <w:t>The left sidebar acts as your control center. You can navigate the application, access different workflows, or ask the AI Agent questions about your documents and flagged findings.</w:t>
      </w:r>
    </w:p>
    <w:p>
      <w:pPr>
        <w:pStyle w:val="Heading 2"/>
      </w:pPr>
      <w:r>
        <w:rPr>
          <w:rtl w:val="0"/>
          <w:lang w:val="en-US"/>
        </w:rPr>
        <w:t>Step 6: Profile &amp; Data Import</w:t>
      </w:r>
    </w:p>
    <w:p>
      <w:pPr>
        <w:pStyle w:val="Body"/>
      </w:pPr>
      <w:r>
        <w:rPr>
          <w:rtl w:val="0"/>
          <w:lang w:val="en-US"/>
        </w:rPr>
        <w:t>In the Profile section, you can import receipts or structured transaction data from insurance companies or providers. This allows the system to interpret new documents with the right coverage and provider context.</w:t>
      </w:r>
    </w:p>
    <w:p>
      <w:pPr>
        <w:pStyle w:val="Heading 2"/>
      </w:pPr>
      <w:r>
        <w:rPr>
          <w:rtl w:val="0"/>
          <w:lang w:val="en-US"/>
        </w:rPr>
        <w:t>Step 7: Interactive API Documentation</w:t>
      </w:r>
    </w:p>
    <w:p>
      <w:pPr>
        <w:pStyle w:val="Default"/>
        <w:suppressAutoHyphens w:val="1"/>
        <w:spacing w:before="0" w:after="240" w:line="240" w:lineRule="auto"/>
        <w:rPr>
          <w:rFonts w:ascii="Times Roman" w:cs="Times Roman" w:hAnsi="Times Roman" w:eastAsia="Times Roman"/>
        </w:rPr>
      </w:pPr>
      <w:r>
        <w:rPr>
          <w:rFonts w:ascii="Times Roman" w:hAnsi="Times Roman"/>
          <w:rtl w:val="0"/>
          <w:lang w:val="en-US"/>
        </w:rPr>
        <w:t>The API Documentation page provides a Swagger-like interactive explorer built entirely in Streamlit. You can browse available endpoints, inspect request and response schemas, and execute live calls directly in the browser.</w:t>
      </w:r>
    </w:p>
    <w:p>
      <w:pPr>
        <w:pStyle w:val="Default"/>
        <w:suppressAutoHyphens w:val="1"/>
        <w:spacing w:before="0" w:after="240" w:line="240" w:lineRule="auto"/>
        <w:rPr>
          <w:rFonts w:ascii="Times Roman" w:cs="Times Roman" w:hAnsi="Times Roman" w:eastAsia="Times Roman"/>
        </w:rPr>
      </w:pPr>
      <w:r>
        <w:rPr>
          <w:rFonts w:ascii="Times Roman" w:hAnsi="Times Roman"/>
          <w:rtl w:val="0"/>
          <w:lang w:val="en-US"/>
        </w:rPr>
        <w:t>This includes listing entities, ingesting documents, retrieving normalized data, checking import status, and reviewing import history. The interface mirrors production-style API documentation while allowing hands-on testing without requiring authentication in demo mode.</w:t>
      </w:r>
    </w:p>
    <w:p>
      <w:pPr>
        <w:pStyle w:val="Body"/>
      </w:pPr>
    </w:p>
    <w:p>
      <w:pPr>
        <w:pStyle w:val="Heading 2"/>
      </w:pPr>
      <w:r>
        <w:rPr>
          <w:rtl w:val="0"/>
          <w:lang w:val="en-US"/>
        </w:rPr>
        <w:t>Step 8: Re-Analyze Newly Loaded Documents</w:t>
      </w:r>
    </w:p>
    <w:p>
      <w:pPr>
        <w:pStyle w:val="Body"/>
      </w:pPr>
      <w:r>
        <w:rPr>
          <w:rtl w:val="0"/>
          <w:lang w:val="en-US"/>
        </w:rPr>
        <w:t>After importing new data, return to Home and run the Demo Production Workflow again. The system will now analyze your newly loaded documents using the same structured pipeline.</w:t>
      </w:r>
    </w:p>
    <w:p>
      <w:pPr>
        <w:pStyle w:val="Heading 2"/>
      </w:pPr>
      <w:r>
        <w:rPr>
          <w:rtl w:val="0"/>
          <w:lang w:val="en-US"/>
        </w:rPr>
        <w:t>Step 9: Take Action on Findings</w:t>
      </w:r>
    </w:p>
    <w:p>
      <w:pPr>
        <w:pStyle w:val="Body"/>
      </w:pPr>
      <w:r>
        <w:rPr>
          <w:rtl w:val="0"/>
          <w:lang w:val="en-US"/>
        </w:rPr>
        <w:t>Once results appear, click Actions on any flagged item to decide next steps. You can mark it for Follow-up, Ignore it, or mark it as Resolved. This turns billing review into an actionable workflow instead of a static report.</w:t>
      </w:r>
    </w:p>
    <w:p>
      <w:pPr>
        <w:pStyle w:val="Default"/>
        <w:suppressAutoHyphens w:val="1"/>
        <w:spacing w:before="0" w:after="299" w:line="240" w:lineRule="auto"/>
        <w:rPr>
          <w:rFonts w:ascii="Times Roman" w:cs="Times Roman" w:hAnsi="Times Roman" w:eastAsia="Times Roman"/>
          <w:b w:val="1"/>
          <w:bCs w:val="1"/>
          <w:outline w:val="0"/>
          <w:color w:val="4f81bd"/>
          <w:sz w:val="26"/>
          <w:szCs w:val="26"/>
          <w14:textFill>
            <w14:solidFill>
              <w14:srgbClr w14:val="4F81BD"/>
            </w14:solidFill>
          </w14:textFill>
        </w:rPr>
      </w:pPr>
      <w:r>
        <w:rPr>
          <w:rFonts w:ascii="Times Roman" w:hAnsi="Times Roman"/>
          <w:b w:val="1"/>
          <w:bCs w:val="1"/>
          <w:outline w:val="0"/>
          <w:color w:val="4f81bd"/>
          <w:sz w:val="26"/>
          <w:szCs w:val="26"/>
          <w:rtl w:val="0"/>
          <w:lang w:val="en-US"/>
          <w14:textFill>
            <w14:solidFill>
              <w14:srgbClr w14:val="4F81BD"/>
            </w14:solidFill>
          </w14:textFill>
        </w:rPr>
        <w:t>Step 10: Proof of Concept Vision</w:t>
      </w:r>
    </w:p>
    <w:p>
      <w:pPr>
        <w:pStyle w:val="Default"/>
        <w:suppressAutoHyphens w:val="1"/>
        <w:spacing w:before="0" w:after="240" w:line="240" w:lineRule="auto"/>
      </w:pPr>
      <w:r>
        <w:rPr>
          <w:rFonts w:ascii="Times Roman" w:hAnsi="Times Roman"/>
          <w:rtl w:val="0"/>
          <w:lang w:val="en-US"/>
        </w:rPr>
        <w:t>This demonstration shows how billing error detection can be simplified. By combining structured ingestion, deterministic workflows, and intelligent validation, the process becomes transparent, auditable, and manageable.</w:t>
      </w:r>
    </w:p>
    <w:sectPr>
      <w:headerReference w:type="default" r:id="rId8"/>
      <w:footerReference w:type="default" r:id="rId9"/>
      <w:pgSz w:w="12240" w:h="15840" w:orient="portrait"/>
      <w:pgMar w:top="1440" w:right="1800" w:bottom="1440" w:left="18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480" w:after="0" w:line="276" w:lineRule="auto"/>
      <w:ind w:left="0" w:right="0" w:firstLine="0"/>
      <w:jc w:val="left"/>
      <w:outlineLvl w:val="0"/>
    </w:pPr>
    <w:rPr>
      <w:rFonts w:ascii="Calibri" w:cs="Arial Unicode MS" w:hAnsi="Calibri" w:eastAsia="Arial Unicode MS"/>
      <w:b w:val="1"/>
      <w:bCs w:val="1"/>
      <w:i w:val="0"/>
      <w:iCs w:val="0"/>
      <w:caps w:val="0"/>
      <w:smallCaps w:val="0"/>
      <w:strike w:val="0"/>
      <w:dstrike w:val="0"/>
      <w:outline w:val="0"/>
      <w:color w:val="365f91"/>
      <w:spacing w:val="0"/>
      <w:kern w:val="0"/>
      <w:position w:val="0"/>
      <w:sz w:val="28"/>
      <w:szCs w:val="28"/>
      <w:u w:val="none" w:color="365f91"/>
      <w:shd w:val="nil" w:color="auto" w:fill="auto"/>
      <w:vertAlign w:val="baseline"/>
      <w:lang w:val="nl-NL"/>
      <w14:textOutline>
        <w14:noFill/>
      </w14:textOutline>
      <w14:textFill>
        <w14:solidFill>
          <w14:srgbClr w14:val="365F91"/>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nl-NL"/>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1"/>
    </w:pPr>
    <w:rPr>
      <w:rFonts w:ascii="Calibri" w:cs="Arial Unicode MS" w:hAnsi="Calibri" w:eastAsia="Arial Unicode MS"/>
      <w:b w:val="1"/>
      <w:bCs w:val="1"/>
      <w:i w:val="0"/>
      <w:iCs w:val="0"/>
      <w:caps w:val="0"/>
      <w:smallCaps w:val="0"/>
      <w:strike w:val="0"/>
      <w:dstrike w:val="0"/>
      <w:outline w:val="0"/>
      <w:color w:val="4f81bd"/>
      <w:spacing w:val="0"/>
      <w:kern w:val="0"/>
      <w:position w:val="0"/>
      <w:sz w:val="26"/>
      <w:szCs w:val="26"/>
      <w:u w:val="none" w:color="4f81bd"/>
      <w:shd w:val="nil" w:color="auto" w:fill="auto"/>
      <w:vertAlign w:val="baseline"/>
      <w:lang w:val="da-DK"/>
      <w14:textOutline>
        <w14:noFill/>
      </w14:textOutline>
      <w14:textFill>
        <w14:solidFill>
          <w14:srgbClr w14:val="4F81BD"/>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